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66A4" w:rsidRDefault="001466A4">
      <w:pPr>
        <w:pStyle w:val="ConsPlusNormal"/>
        <w:jc w:val="both"/>
        <w:outlineLvl w:val="0"/>
      </w:pPr>
    </w:p>
    <w:p w:rsidR="00000000" w:rsidRPr="001466A4" w:rsidRDefault="001466A4">
      <w:pPr>
        <w:pStyle w:val="ConsPlusTitle"/>
        <w:jc w:val="center"/>
      </w:pPr>
      <w:r w:rsidRPr="001466A4">
        <w:t>ФЕДЕРАЛЬНАЯ АНТИМОНОПОЛЬНАЯ СЛУЖБА</w:t>
      </w:r>
    </w:p>
    <w:p w:rsidR="00000000" w:rsidRPr="001466A4" w:rsidRDefault="001466A4">
      <w:pPr>
        <w:pStyle w:val="ConsPlusTitle"/>
        <w:jc w:val="center"/>
      </w:pPr>
    </w:p>
    <w:p w:rsidR="00000000" w:rsidRPr="001466A4" w:rsidRDefault="001466A4">
      <w:pPr>
        <w:pStyle w:val="ConsPlusTitle"/>
        <w:jc w:val="center"/>
      </w:pPr>
      <w:r w:rsidRPr="001466A4">
        <w:t>ПИСЬМО</w:t>
      </w:r>
    </w:p>
    <w:p w:rsidR="00000000" w:rsidRPr="001466A4" w:rsidRDefault="001466A4">
      <w:pPr>
        <w:pStyle w:val="ConsPlusTitle"/>
        <w:jc w:val="center"/>
      </w:pPr>
      <w:r w:rsidRPr="001466A4">
        <w:t>от 11 августа 2021 г. N ВК/67016/21</w:t>
      </w:r>
      <w:bookmarkStart w:id="0" w:name="_GoBack"/>
      <w:bookmarkEnd w:id="0"/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Normal"/>
        <w:ind w:firstLine="540"/>
        <w:jc w:val="both"/>
      </w:pPr>
      <w:r w:rsidRPr="001466A4">
        <w:t xml:space="preserve">Федеральная антимонопольная служба в целях выполнения пункта 1 Плана оказания методической помощи территориальным органам ФАС России в 2021 году, утвержденного </w:t>
      </w:r>
      <w:hyperlink r:id="rId6" w:history="1">
        <w:r w:rsidRPr="001466A4">
          <w:t>приказом</w:t>
        </w:r>
      </w:hyperlink>
      <w:r w:rsidRPr="001466A4">
        <w:t xml:space="preserve"> ФАС России от 14.04.2020 N 348/21, по вопросу применения </w:t>
      </w:r>
      <w:hyperlink r:id="rId7" w:history="1">
        <w:r w:rsidRPr="001466A4">
          <w:t>пунктов 3</w:t>
        </w:r>
      </w:hyperlink>
      <w:r w:rsidRPr="001466A4">
        <w:t xml:space="preserve"> и </w:t>
      </w:r>
      <w:hyperlink r:id="rId8" w:history="1">
        <w:r w:rsidRPr="001466A4">
          <w:t>5 части 1 статьи 10</w:t>
        </w:r>
      </w:hyperlink>
      <w:r w:rsidRPr="001466A4">
        <w:t xml:space="preserve"> Федерального закона от 26.07.2006 N 135-ФЗ "О защите конкуренции" (далее - Закон о защите конкуренции) в сфере обращения с твердыми коммунальны</w:t>
      </w:r>
      <w:r w:rsidRPr="001466A4">
        <w:t>ми отходами, сообщает следующее.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Title"/>
        <w:ind w:firstLine="540"/>
        <w:jc w:val="both"/>
        <w:outlineLvl w:val="0"/>
      </w:pPr>
      <w:r w:rsidRPr="001466A4">
        <w:t>1. Доминирующее положение регионального оператора.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соответствии с </w:t>
      </w:r>
      <w:hyperlink r:id="rId9" w:history="1">
        <w:r w:rsidRPr="001466A4">
          <w:t>частью 1 статьи 5</w:t>
        </w:r>
      </w:hyperlink>
      <w:r w:rsidRPr="001466A4">
        <w:t xml:space="preserve"> Закона о защите кон</w:t>
      </w:r>
      <w:r w:rsidRPr="001466A4">
        <w:t>куренции доминирующим положением признается положение хозяйствующего субъекта (группы лиц) или нескольких хозяйствующих субъектов (групп лиц) на рынке определенного товара, дающее такому хозяйствующему субъекту (группе лиц) или таким хозяйствующим субъекта</w:t>
      </w:r>
      <w:r w:rsidRPr="001466A4">
        <w:t>м (группам лиц)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</w:t>
      </w:r>
      <w:r w:rsidRPr="001466A4">
        <w:t>зяйствующим субъектам.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Согласно </w:t>
      </w:r>
      <w:hyperlink r:id="rId10" w:history="1">
        <w:r w:rsidRPr="001466A4">
          <w:t>статье 1</w:t>
        </w:r>
      </w:hyperlink>
      <w:r w:rsidRPr="001466A4">
        <w:t xml:space="preserve"> Федерального закона от 24.06.1998 N 89-ФЗ "Об отходах производства и потребления" (далее - Закон N</w:t>
      </w:r>
      <w:r w:rsidRPr="001466A4">
        <w:t xml:space="preserve"> 89-ФЗ) под региональным оператором понимается юридическое лицо, осуществляющее деятельность по сбору, транспортированию, обработке, утилизации, обезвреживанию, захоронению твердых коммунальных отходов (далее - ТКО), которое обязано заключить договор на ок</w:t>
      </w:r>
      <w:r w:rsidRPr="001466A4">
        <w:t>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соответствии с </w:t>
      </w:r>
      <w:hyperlink r:id="rId11" w:history="1">
        <w:r w:rsidRPr="001466A4">
          <w:t>пунктом 4 статьи 24.6</w:t>
        </w:r>
      </w:hyperlink>
      <w:r w:rsidRPr="001466A4">
        <w:t xml:space="preserve"> Закона N 89-ФЗ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</w:t>
      </w:r>
      <w:r w:rsidRPr="001466A4">
        <w:t xml:space="preserve">власти субъекта Российской Федерации в порядке, установленном </w:t>
      </w:r>
      <w:hyperlink r:id="rId12" w:history="1">
        <w:r w:rsidRPr="001466A4">
          <w:t>Правилами</w:t>
        </w:r>
      </w:hyperlink>
      <w:r w:rsidRPr="001466A4">
        <w:t xml:space="preserve"> проведения уполномоченными органами исполнительной власти субъектов</w:t>
      </w:r>
      <w:r w:rsidRPr="001466A4">
        <w:t xml:space="preserve"> Российской Федерации конкурсного отбора региональных операторов по обращению с ТКО, утвержденными постановлением Правительства Российской Федерации от 05.09.2016 N 881.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Таким образом, </w:t>
      </w:r>
      <w:hyperlink r:id="rId13" w:history="1">
        <w:r w:rsidRPr="001466A4">
          <w:t>Законом</w:t>
        </w:r>
      </w:hyperlink>
      <w:r w:rsidRPr="001466A4">
        <w:t xml:space="preserve"> N 89-ФЗ предусмотрена обязанность регионального оператора обеспечить сбор, транспортирование, обработку, утилизацию, обезвреживание, захоронение ТКО на территории конкретной зоны деятельности в соответствии с региональной п</w:t>
      </w:r>
      <w:r w:rsidRPr="001466A4">
        <w:t>рограммой и территориальной схемой в области обращения с отходами.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14" w:history="1">
        <w:r w:rsidRPr="001466A4">
          <w:t>Правила</w:t>
        </w:r>
      </w:hyperlink>
      <w:r w:rsidRPr="001466A4">
        <w:t xml:space="preserve"> обращения с твердыми коммунальными отходами, утвержденные постан</w:t>
      </w:r>
      <w:r w:rsidRPr="001466A4">
        <w:t>овлением Правительства Российской Федерации от 12.11.2016 N 1156 (далее - Правила N 1156), предусматривают заключение договора на оказание услуг по обращению с ТКО только с региональным оператором, в зоне деятельности которого образуются ТКО и находятся ме</w:t>
      </w:r>
      <w:r w:rsidRPr="001466A4">
        <w:t>ста (площадки) их накопления (</w:t>
      </w:r>
      <w:hyperlink r:id="rId15" w:history="1">
        <w:r w:rsidRPr="001466A4">
          <w:t>пункт 5</w:t>
        </w:r>
      </w:hyperlink>
      <w:r w:rsidRPr="001466A4">
        <w:t xml:space="preserve"> Правил N 1156).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Необходимо отметить, что разъяснения о порядке признания доминирующим положение регионального оператора были доведены до сведения территориальных управлений письмом ФАС России от 08.07.2020 N ИА/57450/20.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lastRenderedPageBreak/>
        <w:t>Учитывая, что региональный оператор является лицом,</w:t>
      </w:r>
      <w:r w:rsidRPr="001466A4">
        <w:t xml:space="preserve"> оказывающим решающее влияние на общие условия рынка услуг по обращению с твердыми коммунальными отходами и (или) способным устранять с этого товарного рынка других хозяйствующих субъектов, и (или) затруднять доступ на этот товарный рынок другим хозяйствую</w:t>
      </w:r>
      <w:r w:rsidRPr="001466A4">
        <w:t>щим субъектам, к нему могут применяться меры антимонопольного реагирования.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Распространенными нарушениями в сфере обращения с ТКО являются нарушения, связанные с порядком заключения договора (навязывание невыгодных условий договора, уклонение/отказ от закл</w:t>
      </w:r>
      <w:r w:rsidRPr="001466A4">
        <w:t>ючения договора, нарушение сроков заключения договора) и исполнения договора (отказ от вывоза ТКО, отказ в изменении способа коммерческого учета ТКО, необоснованное изменение периодичности вывоза ТКО).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Title"/>
        <w:ind w:firstLine="540"/>
        <w:jc w:val="both"/>
        <w:outlineLvl w:val="0"/>
      </w:pPr>
      <w:r w:rsidRPr="001466A4">
        <w:t>2. Порядок и особенности заключения договора по обращ</w:t>
      </w:r>
      <w:r w:rsidRPr="001466A4">
        <w:t>ению с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соответствии с </w:t>
      </w:r>
      <w:hyperlink r:id="rId16" w:history="1">
        <w:r w:rsidRPr="001466A4">
          <w:t>пунктом 4 статьи 24.7</w:t>
        </w:r>
      </w:hyperlink>
      <w:r w:rsidRPr="001466A4">
        <w:t xml:space="preserve"> Закона N 89-ФЗ собственники ТКО обязаны заключить договор на оказание услуг по обращению с </w:t>
      </w:r>
      <w:r w:rsidRPr="001466A4">
        <w:t>ТКО с региональным оператором, в зоне деятельности которого образуются ТКО и находятся места их накопления.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При этом для регионального оператора договор на оказание этих услуг является публичным, следовательно, он не вправе отказать в его заключении потреб</w:t>
      </w:r>
      <w:r w:rsidRPr="001466A4">
        <w:t>ителю -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Договор об оказании услуг по обращению с твердыми коммунальными отходами заключается в соответствии с типовой </w:t>
      </w:r>
      <w:hyperlink r:id="rId17" w:history="1">
        <w:r w:rsidRPr="001466A4">
          <w:t>формой</w:t>
        </w:r>
      </w:hyperlink>
      <w:r w:rsidRPr="001466A4">
        <w:t xml:space="preserve"> договора, утвержденной постановлением Правительства Российской Федерации от 12.11.2016 N 1156 (далее - Типовой договор).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Согласно </w:t>
      </w:r>
      <w:hyperlink r:id="rId18" w:history="1">
        <w:r w:rsidRPr="001466A4">
          <w:t>пункту 5 статьи 24.7</w:t>
        </w:r>
      </w:hyperlink>
      <w:r w:rsidRPr="001466A4">
        <w:t xml:space="preserve"> Закона N 89-ФЗ договор об оказании услуг по обращению с твердыми коммунальными отходами может быть дополнен по соглашению сторон иными не</w:t>
      </w:r>
      <w:r w:rsidRPr="001466A4">
        <w:t>противоречащими законодательству Российской Федерации положениями.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Положениями </w:t>
      </w:r>
      <w:hyperlink r:id="rId19" w:history="1">
        <w:r w:rsidRPr="001466A4">
          <w:t>статей 154</w:t>
        </w:r>
      </w:hyperlink>
      <w:r w:rsidRPr="001466A4">
        <w:t xml:space="preserve"> и </w:t>
      </w:r>
      <w:hyperlink r:id="rId20" w:history="1">
        <w:r w:rsidRPr="001466A4">
          <w:t>155</w:t>
        </w:r>
      </w:hyperlink>
      <w:r w:rsidRPr="001466A4">
        <w:t xml:space="preserve"> Жилищного кодекса Российской Федерации (далее - ЖК РФ) установлено, что в структуру платы за коммунальные услуги входит, в том числе обращение с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При этом обязанность оплаты услу</w:t>
      </w:r>
      <w:r w:rsidRPr="001466A4">
        <w:t>г по обращению с ТКО наступает при наличии соглашения между субъектом Российской Федерации и региональным оператором и предельного единого тарифа на услугу регионального оператора по обращению с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Таким образом, само по себе включение региональным опера</w:t>
      </w:r>
      <w:r w:rsidRPr="001466A4">
        <w:t xml:space="preserve">тором в договор условий, которые не предусмотрены Типовым </w:t>
      </w:r>
      <w:hyperlink r:id="rId21" w:history="1">
        <w:r w:rsidRPr="001466A4">
          <w:t>договором</w:t>
        </w:r>
      </w:hyperlink>
      <w:r w:rsidRPr="001466A4">
        <w:t>, но относятся к целям и предмету договора, и по которым стороны достигл</w:t>
      </w:r>
      <w:r w:rsidRPr="001466A4">
        <w:t>и согласия, не является нарушением антимонопольного законодательства.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Вместе с тем, согласно </w:t>
      </w:r>
      <w:hyperlink r:id="rId22" w:history="1">
        <w:r w:rsidRPr="001466A4">
          <w:t>пункту 15</w:t>
        </w:r>
      </w:hyperlink>
      <w:r w:rsidRPr="001466A4">
        <w:t xml:space="preserve"> Постановления Пленума Верховного Суд</w:t>
      </w:r>
      <w:r w:rsidRPr="001466A4">
        <w:t>а Российской Федерации от 04.03.2021 N 2 "О некоторых вопросах, возникающих в связи с применением судами антимонопольного законодательства" (далее - Постановление Пленума N 2) само по себе заключение договора с доминирующим на рынке субъектом без возражени</w:t>
      </w:r>
      <w:r w:rsidRPr="001466A4">
        <w:t>й, высказанных контрагентом на стадии заключения договора (например, без составления протокола разногласий по спорным условиям), и (или) исполнение договора не являются обстоятельствами, исключающими возможность квалификации поведения доминирующего субъект</w:t>
      </w:r>
      <w:r w:rsidRPr="001466A4">
        <w:t>а как злоупотребления.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lastRenderedPageBreak/>
        <w:t xml:space="preserve">Таким образом, пресечение нарушения запрета, установленного </w:t>
      </w:r>
      <w:hyperlink r:id="rId23" w:history="1">
        <w:r w:rsidRPr="001466A4">
          <w:t>пунктом 3 части 1 статьи 10</w:t>
        </w:r>
      </w:hyperlink>
      <w:r w:rsidRPr="001466A4">
        <w:t xml:space="preserve"> Закона о защите конкуренции,</w:t>
      </w:r>
      <w:r w:rsidRPr="001466A4">
        <w:t xml:space="preserve"> допускается как до, так и после заключения договора, в который включается спорное условие.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Также согласно </w:t>
      </w:r>
      <w:hyperlink r:id="rId24" w:history="1">
        <w:r w:rsidRPr="001466A4">
          <w:t>пункту 14</w:t>
        </w:r>
      </w:hyperlink>
      <w:r w:rsidRPr="001466A4">
        <w:t xml:space="preserve"> Постановления Пленума N 2 навязанными невыгодными условиями могут быть признаны условия, которые иной участник рынка не принял бы, исходя из своих разумно понимаемых экономических (коммерческих) интересов, и которые позволяют доминирующему на рынке субъек</w:t>
      </w:r>
      <w:r w:rsidRPr="001466A4">
        <w:t>ту извлекать выгоду посредством ограничения свободы ведения экономической деятельности его контрагентов.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Таким образом, оценка действий регионального оператора по включению условий договора, не предусмотренных Типовым </w:t>
      </w:r>
      <w:hyperlink r:id="rId25" w:history="1">
        <w:r w:rsidRPr="001466A4">
          <w:t>договором</w:t>
        </w:r>
      </w:hyperlink>
      <w:r w:rsidRPr="001466A4">
        <w:t>, на предмет наличия признаков нарушения антимонопольного законодательства осуществляется с учетом всех обстоятельств, установленных антимонопольным органом в каждом ко</w:t>
      </w:r>
      <w:r w:rsidRPr="001466A4">
        <w:t>нкретном случае.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На основании изложенного, ФАС России обращает внимание, что действия регионального оператора, выразившиеся в несоблюдении при заключении договора формы Типового </w:t>
      </w:r>
      <w:hyperlink r:id="rId26" w:history="1">
        <w:r w:rsidRPr="001466A4">
          <w:t>договора</w:t>
        </w:r>
      </w:hyperlink>
      <w:r w:rsidRPr="001466A4">
        <w:t xml:space="preserve"> (например, исключение или изменение существенных условий договора), могут содержать признаки нарушения антимонопольного законодательства (</w:t>
      </w:r>
      <w:hyperlink r:id="rId27" w:history="1">
        <w:r w:rsidRPr="001466A4">
          <w:t>пункт 3 части 1 статьи 10</w:t>
        </w:r>
      </w:hyperlink>
      <w:r w:rsidRPr="001466A4">
        <w:t xml:space="preserve"> Закона о защите конкуренции).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Так, территориальными органами ФАС России была дана оценка соответствующим действиям региональных операторов по вышеуказанной квалификации, например: реш</w:t>
      </w:r>
      <w:r w:rsidRPr="001466A4">
        <w:t>ение Управления Федеральной антимонопольной службы по Курганской области от 21.07.2020, предупреждение Управления Федеральной антимонопольной службы по Ульяновской области от 07.05.2020.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ФАС России также обращает внимание, что </w:t>
      </w:r>
      <w:hyperlink r:id="rId28" w:history="1">
        <w:r w:rsidRPr="001466A4">
          <w:t>пунктом 3</w:t>
        </w:r>
      </w:hyperlink>
      <w:r w:rsidRPr="001466A4">
        <w:t xml:space="preserve"> Правил N 1156 установлено, что накопление, сбор, транспортирование, обработка, утилизация, обезвреживание, захоронение твердых коммунальных отходов осуществляются </w:t>
      </w:r>
      <w:r w:rsidRPr="001466A4">
        <w:t>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Указанной </w:t>
      </w:r>
      <w:hyperlink r:id="rId29" w:history="1">
        <w:r w:rsidRPr="001466A4">
          <w:t>нормой</w:t>
        </w:r>
      </w:hyperlink>
      <w:r w:rsidRPr="001466A4">
        <w:t xml:space="preserve"> также предусмотрено, что осуществление накопления, сбора, транспортирования, обработки, утилизации, обезвреживания, захоронения твердых коммунальных отходов должно быть безопасным для населения и окружающе</w:t>
      </w:r>
      <w:r w:rsidRPr="001466A4">
        <w:t>й среды.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Законодательство Российской Федерации в сфере обращения ТКО устанавливает императивные требования для регионального оператора, как лица, осуществляющего деятельность по обращению с ТКО, в части соблюдения санитарно-эпидемиологических норм.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Периоди</w:t>
      </w:r>
      <w:r w:rsidRPr="001466A4">
        <w:t>чность вывоза ТКО региональным оператором должна соответствовать срокам временного накопления несортированных ТКО, установленным санитарными правилами и нормами.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Указанная позиция также поддерживается судебной практикой, в частности, аналогичные выводы был</w:t>
      </w:r>
      <w:r w:rsidRPr="001466A4">
        <w:t xml:space="preserve">и указаны судами в Апелляционном </w:t>
      </w:r>
      <w:hyperlink r:id="rId30" w:history="1">
        <w:r w:rsidRPr="001466A4">
          <w:t>определении</w:t>
        </w:r>
      </w:hyperlink>
      <w:r w:rsidRPr="001466A4">
        <w:t xml:space="preserve"> Судебной коллегии по административным делам Верховного Суда Российской Федерации от 19.06.2019 N 1-АПА19-5, постано</w:t>
      </w:r>
      <w:r w:rsidRPr="001466A4">
        <w:t xml:space="preserve">влении Арбитражного суда Северо-Западного округа от 24.12.2020 </w:t>
      </w:r>
      <w:hyperlink r:id="rId31" w:history="1">
        <w:r w:rsidRPr="001466A4">
          <w:t>N Ф07-14003/2020</w:t>
        </w:r>
      </w:hyperlink>
      <w:r w:rsidRPr="001466A4">
        <w:t xml:space="preserve"> по делу N А21-8180/2019, постановлении Арбитражного суда Поволжского округа от 1</w:t>
      </w:r>
      <w:r w:rsidRPr="001466A4">
        <w:t xml:space="preserve">7.12.2019 </w:t>
      </w:r>
      <w:hyperlink r:id="rId32" w:history="1">
        <w:r w:rsidRPr="001466A4">
          <w:t>N Ф06-55725/2019</w:t>
        </w:r>
      </w:hyperlink>
      <w:r w:rsidRPr="001466A4">
        <w:t xml:space="preserve"> по делу N А65-7546/2019, постановлении Арбитражного суда Северо-Кавказского округа от 21.09.2020 </w:t>
      </w:r>
      <w:hyperlink r:id="rId33" w:history="1">
        <w:r w:rsidRPr="001466A4">
          <w:t>N Ф08-7256/2020</w:t>
        </w:r>
      </w:hyperlink>
      <w:r w:rsidRPr="001466A4">
        <w:t xml:space="preserve"> по делу N А63-10417/2019.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lastRenderedPageBreak/>
        <w:t>В частности, в вышеуказанных решениях суды отмечают императивный характер положений, санитарных правил и норм, соблюдение которых является обязательным дл</w:t>
      </w:r>
      <w:r w:rsidRPr="001466A4">
        <w:t>я регионального оператора в части периодичности вывоза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Следовательно, включение в договор положений об уточнении сроков в соответствии с санитарными нормами и правилами не противоречит положениям </w:t>
      </w:r>
      <w:hyperlink r:id="rId34" w:history="1">
        <w:r w:rsidRPr="001466A4">
          <w:t>Закона</w:t>
        </w:r>
      </w:hyperlink>
      <w:r w:rsidRPr="001466A4">
        <w:t xml:space="preserve"> N 89-ФЗ, </w:t>
      </w:r>
      <w:hyperlink r:id="rId35" w:history="1">
        <w:r w:rsidRPr="001466A4">
          <w:t>Правилам</w:t>
        </w:r>
      </w:hyperlink>
      <w:r w:rsidRPr="001466A4">
        <w:t xml:space="preserve"> N 1156.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Аналогичная позиция также приведена в Решении ФАС России от 19.03</w:t>
      </w:r>
      <w:r w:rsidRPr="001466A4">
        <w:t>.2021 N 052/01/10-418/2020.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Title"/>
        <w:ind w:firstLine="540"/>
        <w:jc w:val="both"/>
        <w:outlineLvl w:val="0"/>
      </w:pPr>
      <w:r w:rsidRPr="001466A4">
        <w:t>3. Нарушение порядка заключения договоров в сфере обращения с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3.1. Порядок заключения договора на оказание услуг по обращению с ТКО регламентирован </w:t>
      </w:r>
      <w:hyperlink r:id="rId36" w:history="1">
        <w:r w:rsidRPr="001466A4">
          <w:t>Правилами</w:t>
        </w:r>
      </w:hyperlink>
      <w:r w:rsidRPr="001466A4">
        <w:t xml:space="preserve"> N 1156.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37" w:history="1">
        <w:r w:rsidRPr="001466A4">
          <w:t>Пунктом 8.1</w:t>
        </w:r>
        <w:r w:rsidRPr="001466A4">
          <w:t>7</w:t>
        </w:r>
      </w:hyperlink>
      <w:r w:rsidRPr="001466A4">
        <w:t xml:space="preserve"> Правил N 1156 установлено, что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</w:t>
      </w:r>
      <w:hyperlink r:id="rId38" w:history="1">
        <w:r w:rsidRPr="001466A4">
          <w:t>Законом</w:t>
        </w:r>
      </w:hyperlink>
      <w:r w:rsidRPr="001466A4">
        <w:t xml:space="preserve"> N 89-ФЗ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</w:t>
      </w:r>
      <w:r w:rsidRPr="001466A4">
        <w:t>уникационной сети "Интернет", а также в средствах массовой информации.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На основании </w:t>
      </w:r>
      <w:hyperlink r:id="rId39" w:history="1">
        <w:r w:rsidRPr="001466A4">
          <w:t>Правил</w:t>
        </w:r>
      </w:hyperlink>
      <w:r w:rsidRPr="001466A4">
        <w:t xml:space="preserve"> N 1156 в случае если потребитель не направил рег</w:t>
      </w:r>
      <w:r w:rsidRPr="001466A4">
        <w:t xml:space="preserve">иональному оператору заявку потребителя и документы в соответствии с </w:t>
      </w:r>
      <w:hyperlink r:id="rId40" w:history="1">
        <w:r w:rsidRPr="001466A4">
          <w:t>пунктами 8(5)</w:t>
        </w:r>
      </w:hyperlink>
      <w:r w:rsidRPr="001466A4">
        <w:t xml:space="preserve"> - </w:t>
      </w:r>
      <w:hyperlink r:id="rId41" w:history="1">
        <w:r w:rsidRPr="001466A4">
          <w:t>8(7)</w:t>
        </w:r>
      </w:hyperlink>
      <w:r w:rsidRPr="001466A4">
        <w:t xml:space="preserve"> Правил N 1156 в указанный срок, договор на оказание услуг по обращению с ТКО считается заключенным на условиях типового </w:t>
      </w:r>
      <w:hyperlink r:id="rId42" w:history="1">
        <w:r w:rsidRPr="001466A4">
          <w:t>договора</w:t>
        </w:r>
      </w:hyperlink>
      <w:r w:rsidRPr="001466A4">
        <w:t xml:space="preserve">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</w:t>
      </w:r>
      <w:r w:rsidRPr="001466A4">
        <w:t>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Согласно </w:t>
      </w:r>
      <w:hyperlink r:id="rId43" w:history="1">
        <w:r w:rsidRPr="001466A4">
          <w:t>разделу I(1)</w:t>
        </w:r>
      </w:hyperlink>
      <w:r w:rsidRPr="001466A4">
        <w:t xml:space="preserve"> Правил N 1156 при поступлении заявки потребителя со всеми необходимыми сведениями и документами, предусмотренными </w:t>
      </w:r>
      <w:hyperlink r:id="rId44" w:history="1">
        <w:r w:rsidRPr="001466A4">
          <w:t>пунктами 8(6)</w:t>
        </w:r>
      </w:hyperlink>
      <w:r w:rsidRPr="001466A4">
        <w:t xml:space="preserve"> и </w:t>
      </w:r>
      <w:hyperlink r:id="rId45" w:history="1">
        <w:r w:rsidRPr="001466A4">
          <w:t>8(7)</w:t>
        </w:r>
      </w:hyperlink>
      <w:r w:rsidRPr="001466A4">
        <w:t xml:space="preserve"> Правил N 1156, </w:t>
      </w:r>
      <w:r w:rsidRPr="001466A4">
        <w:t>региональный оператор в течение 15 рабочих дней со дня получения заявки направляет ему 2 экземпляра подписанного со своей стороны проекта договора на оказание услуг по обращению с ТКО, а потребитель в течение 15 рабочих дней со дня поступления 2 экземпляро</w:t>
      </w:r>
      <w:r w:rsidRPr="001466A4">
        <w:t>в проекта договора на оказание услуг по обращению с ТКО обязан их подписать и направить 1 экземпляр договора региональному оператору либо направить мотивированный отказ от подписания указанного проекта договора с приложением к нему предложений о внесении и</w:t>
      </w:r>
      <w:r w:rsidRPr="001466A4">
        <w:t>зменений в такой проект в части, не противоречащей законодательству Российской Федерации.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Таким образом, у собственника ТКО при несогласии с представленным проектом договора есть право на направление мотивированного отказа от подписания указанного проекта </w:t>
      </w:r>
      <w:r w:rsidRPr="001466A4">
        <w:t>договора.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Региональный оператор в течение 10 рабочих дней со дня получения указанных в </w:t>
      </w:r>
      <w:hyperlink r:id="rId46" w:history="1">
        <w:r w:rsidRPr="001466A4">
          <w:t>пункте 8.11</w:t>
        </w:r>
      </w:hyperlink>
      <w:r w:rsidRPr="001466A4">
        <w:t xml:space="preserve"> Правил N 1156 мотивированного отказа и предл</w:t>
      </w:r>
      <w:r w:rsidRPr="001466A4">
        <w:t>ожений рассматривает их, а также принимает меры по урегулированию разногласий.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Необходимо отметить, что действия регионального оператора по созданию условий, при которых у потребителя нет возможности предоставить мотивированные возражения по тексту проекта</w:t>
      </w:r>
      <w:r w:rsidRPr="001466A4">
        <w:t xml:space="preserve"> договора, а также прекращение мероприятий по урегулированию разногласий по проекту договора (неработающий сайт в сети интернет, закрытый офис, неполучение заказных писем), могут </w:t>
      </w:r>
      <w:r w:rsidRPr="001466A4">
        <w:lastRenderedPageBreak/>
        <w:t xml:space="preserve">содержать признаки нарушения </w:t>
      </w:r>
      <w:hyperlink r:id="rId47" w:history="1">
        <w:r w:rsidRPr="001466A4">
          <w:t>пункта 5 части 1 статьи 10</w:t>
        </w:r>
      </w:hyperlink>
      <w:r w:rsidRPr="001466A4">
        <w:t xml:space="preserve"> Закона о защите конкуренции.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3.2. Согласно </w:t>
      </w:r>
      <w:hyperlink r:id="rId48" w:history="1">
        <w:r w:rsidRPr="001466A4">
          <w:t>пункту</w:t>
        </w:r>
        <w:r w:rsidRPr="001466A4">
          <w:t xml:space="preserve"> 1 статьи 24.6</w:t>
        </w:r>
      </w:hyperlink>
      <w:r w:rsidRPr="001466A4">
        <w:t xml:space="preserve"> Закона N 89-ФЗ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осуществляется в соответствии с региональной программой в области обращени</w:t>
      </w:r>
      <w:r w:rsidRPr="001466A4">
        <w:t>я с отходами и территориальной схемой обращения с отходами.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49" w:history="1">
        <w:r w:rsidRPr="001466A4">
          <w:t>Пункт 10 статьи 24.6</w:t>
        </w:r>
      </w:hyperlink>
      <w:r w:rsidRPr="001466A4">
        <w:t xml:space="preserve"> Закона N 89-ФЗ предусматривает, что операторы по обращению с </w:t>
      </w:r>
      <w:r w:rsidRPr="001466A4">
        <w:t>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</w:t>
      </w:r>
      <w:r w:rsidRPr="001466A4">
        <w:t>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коммунальных отходов, данные о месте нахождения которых включены в территориальную схему обращения с отхода</w:t>
      </w:r>
      <w:r w:rsidRPr="001466A4">
        <w:t>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Российской Федерации с учетом соглашения, заключенного между субъектами Российской Федерации, только на основани</w:t>
      </w:r>
      <w:r w:rsidRPr="001466A4">
        <w:t>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Действия региональных операторов по обращению</w:t>
      </w:r>
      <w:r w:rsidRPr="001466A4">
        <w:t xml:space="preserve"> с твердыми коммунальными отходами, владеющих объектами обработки, обезвреживания, захоронения твердых коммунальных отходов, выразившихся в отказе от заключения вышеуказанных договоров с региональным оператором, а также по навязыванию невыгодных условий до</w:t>
      </w:r>
      <w:r w:rsidRPr="001466A4">
        <w:t>говора могут содержать признаки нарушения антимонопольного законодательства (</w:t>
      </w:r>
      <w:hyperlink r:id="rId50" w:history="1">
        <w:r w:rsidRPr="001466A4">
          <w:t>пункт 3</w:t>
        </w:r>
      </w:hyperlink>
      <w:r w:rsidRPr="001466A4">
        <w:t xml:space="preserve"> и </w:t>
      </w:r>
      <w:hyperlink r:id="rId51" w:history="1">
        <w:r w:rsidRPr="001466A4">
          <w:t>5 части 1 статьи 10</w:t>
        </w:r>
      </w:hyperlink>
      <w:r w:rsidRPr="001466A4">
        <w:t xml:space="preserve"> Закона о защите конкуренции).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Корреспондирующая обязанность регионального оператора по заключению договоров с операторами по обращению с твердыми коммунальными отходами сл</w:t>
      </w:r>
      <w:r w:rsidRPr="001466A4">
        <w:t xml:space="preserve">едует из взаимоувязанных положений </w:t>
      </w:r>
      <w:hyperlink r:id="rId52" w:history="1">
        <w:r w:rsidRPr="001466A4">
          <w:t>Закона</w:t>
        </w:r>
      </w:hyperlink>
      <w:r w:rsidRPr="001466A4">
        <w:t xml:space="preserve"> N 89-ФЗ и </w:t>
      </w:r>
      <w:hyperlink r:id="rId53" w:history="1">
        <w:r w:rsidRPr="001466A4">
          <w:t>Правил</w:t>
        </w:r>
      </w:hyperlink>
      <w:r w:rsidRPr="001466A4">
        <w:t xml:space="preserve"> N 1156. Так, региональный оператор в отношении заключения вышеуказанных договоров не может отказаться или уклоняться от их заключения.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Title"/>
        <w:ind w:firstLine="540"/>
        <w:jc w:val="both"/>
        <w:outlineLvl w:val="0"/>
      </w:pPr>
      <w:r w:rsidRPr="001466A4">
        <w:t>4. О порядке коммерческого учета объема и (или) массы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ФАС России отмечает, что при заключении догов</w:t>
      </w:r>
      <w:r w:rsidRPr="001466A4">
        <w:t xml:space="preserve">ора на оказание услуг по обращению с ТКО стороны должны руководствоваться </w:t>
      </w:r>
      <w:hyperlink r:id="rId54" w:history="1">
        <w:r w:rsidRPr="001466A4">
          <w:t>Правилами</w:t>
        </w:r>
      </w:hyperlink>
      <w:r w:rsidRPr="001466A4">
        <w:t xml:space="preserve"> N 1156.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соответствии с </w:t>
      </w:r>
      <w:hyperlink r:id="rId55" w:history="1">
        <w:r w:rsidRPr="001466A4">
          <w:t>пунктом 15</w:t>
        </w:r>
      </w:hyperlink>
      <w:r w:rsidRPr="001466A4">
        <w:t xml:space="preserve"> Типового договора стороны договора обязаны выбрать способ осуществления коммерческого учета ТКО в соответствии с Правилами N 505.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Порядок коммерческого учета </w:t>
      </w:r>
      <w:r w:rsidRPr="001466A4">
        <w:t xml:space="preserve">объема и (или) массы - ТКО регламентирован </w:t>
      </w:r>
      <w:hyperlink r:id="rId56" w:history="1">
        <w:r w:rsidRPr="001466A4">
          <w:t>Правилами</w:t>
        </w:r>
      </w:hyperlink>
      <w:r w:rsidRPr="001466A4">
        <w:t xml:space="preserve"> коммерческого учета объема и (или) массы ТКО, утвержденными постановлением Правительства Российской Федерации от 03.06.2016 N 505 (далее - Правила N 505).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57" w:history="1">
        <w:r w:rsidRPr="001466A4">
          <w:t>Пунктом 5</w:t>
        </w:r>
      </w:hyperlink>
      <w:r w:rsidRPr="001466A4">
        <w:t xml:space="preserve"> Правил N 505 установлено, что коммерческий учет ТКО осуществляется: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а) расчетным путем исходя из: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- нормативов накопления ТКО, выраженных в количественных показателях объема;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- количества и объема контейнеров для накопления ТКО, </w:t>
      </w:r>
      <w:r w:rsidRPr="001466A4">
        <w:t>установленных в местах накопления ТКО;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lastRenderedPageBreak/>
        <w:t>б) исходя из массы ТКО, определенной с использованием средств измерения.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58" w:history="1">
        <w:r w:rsidRPr="001466A4">
          <w:t>Пунктом 6</w:t>
        </w:r>
      </w:hyperlink>
      <w:r w:rsidRPr="001466A4">
        <w:t xml:space="preserve"> Правил N 505 уста</w:t>
      </w:r>
      <w:r w:rsidRPr="001466A4">
        <w:t xml:space="preserve">новлено, что в целях осуществления расчетов с собственниками ТКО коммерческий учет ТКО осуществляется в соответствии с </w:t>
      </w:r>
      <w:hyperlink r:id="rId59" w:history="1">
        <w:r w:rsidRPr="001466A4">
          <w:t>подпунктом "а" пункта 5</w:t>
        </w:r>
      </w:hyperlink>
      <w:r w:rsidRPr="001466A4">
        <w:t xml:space="preserve"> Правил N 505.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Необходимо отметить, что осуществление расчетов в соответствии с </w:t>
      </w:r>
      <w:hyperlink r:id="rId60" w:history="1">
        <w:r w:rsidRPr="001466A4">
          <w:t>подпунктом "б" пункта 5</w:t>
        </w:r>
      </w:hyperlink>
      <w:r w:rsidRPr="001466A4">
        <w:t xml:space="preserve"> Правил N 505 производится только</w:t>
      </w:r>
      <w:r w:rsidRPr="001466A4">
        <w:t xml:space="preserve"> с операторами по обращению с ТКО, владеющими на праве собственности или на ином законном основании объектами (владельцы объектов) (</w:t>
      </w:r>
      <w:hyperlink r:id="rId61" w:history="1">
        <w:r w:rsidRPr="001466A4">
          <w:t>пункт 9</w:t>
        </w:r>
      </w:hyperlink>
      <w:r w:rsidRPr="001466A4">
        <w:t xml:space="preserve"> Правил N 505).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дополнение отмечаем, что согласно </w:t>
      </w:r>
      <w:hyperlink r:id="rId62" w:history="1">
        <w:r w:rsidRPr="001466A4">
          <w:t>пункту 8</w:t>
        </w:r>
      </w:hyperlink>
      <w:r w:rsidRPr="001466A4">
        <w:t xml:space="preserve"> Правил N 505 при раздельном накоплении ТКО в целях осуществления расчетов по догово</w:t>
      </w:r>
      <w:r w:rsidRPr="001466A4">
        <w:t xml:space="preserve">рам в области обращения с ТКО коммерческий учет ТКО осуществляется в соответствии с </w:t>
      </w:r>
      <w:hyperlink r:id="rId63" w:history="1">
        <w:r w:rsidRPr="001466A4">
          <w:t>абзацем третьим подпункта "а" пункта 5</w:t>
        </w:r>
      </w:hyperlink>
      <w:r w:rsidRPr="001466A4">
        <w:t xml:space="preserve"> Правил N 505.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Поскольку коммерческий учет ТКО осуществляется расчетным путем исходя из нормативов накопления ТКО либо из количества и объема контейнеров для накопления ТКО, и при этом действующим законодательством в сфере обращения с ТКО не предусмотрена обязанность рег</w:t>
      </w:r>
      <w:r w:rsidRPr="001466A4">
        <w:t xml:space="preserve">ионального оператора и собственника ТКО производить учет объема и (или) массы ТКО только способом исходя из нормативов накопления ТКО, то региональный оператор и собственник ТКО вправе выбрать любой способ коммерческого учета </w:t>
      </w:r>
      <w:hyperlink r:id="rId64" w:history="1">
        <w:r w:rsidRPr="001466A4">
          <w:t>подпункта "а" пункта 5</w:t>
        </w:r>
      </w:hyperlink>
      <w:r w:rsidRPr="001466A4">
        <w:t xml:space="preserve"> Правил N 505.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Из вышеизложенного следует, что ограничение по способу коммерческого учета ТКО, предусмотренное </w:t>
      </w:r>
      <w:hyperlink r:id="rId65" w:history="1">
        <w:r w:rsidRPr="001466A4">
          <w:t>пунктом 8</w:t>
        </w:r>
      </w:hyperlink>
      <w:r w:rsidRPr="001466A4">
        <w:t xml:space="preserve"> Правил N 505, установлено только для ситуации, когда применяется система раздельного сбора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Таким образом, в случае отсутствия раздельного накопления ТКО на территори</w:t>
      </w:r>
      <w:r w:rsidRPr="001466A4">
        <w:t>и регионального оператора в целях осуществления расчетов по договорам в области обращения с ТКО коммерческий учет ТКО осуществляется расчетным путем исходя из фактического количества и объема контейнеров для накопления ТКО либо в соответствии с установленн</w:t>
      </w:r>
      <w:r w:rsidRPr="001466A4">
        <w:t>ыми нормативами накопления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Иных ограничений на применение одного из способов коммерческого учета </w:t>
      </w:r>
      <w:hyperlink r:id="rId66" w:history="1">
        <w:r w:rsidRPr="001466A4">
          <w:t>подпункта "а" пункта 5</w:t>
        </w:r>
      </w:hyperlink>
      <w:r w:rsidRPr="001466A4">
        <w:t xml:space="preserve"> Правил N 505 у</w:t>
      </w:r>
      <w:r w:rsidRPr="001466A4">
        <w:t>казанные правила не содержат.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Сторонами может быть выбран предусмотренный </w:t>
      </w:r>
      <w:hyperlink r:id="rId67" w:history="1">
        <w:r w:rsidRPr="001466A4">
          <w:t>подпунктом "а" пункта 5</w:t>
        </w:r>
      </w:hyperlink>
      <w:r w:rsidRPr="001466A4">
        <w:t xml:space="preserve"> Правил N 505 способ коммерческого учета, </w:t>
      </w:r>
      <w:r w:rsidRPr="001466A4">
        <w:t>а именно по количеству и объему контейнеров для накопления ТКО, установленных в местах накопления ТКО, в случае если контейнеры потребителя и места (площадки) накопления ТКО соответствуют нормам действующего экологического законодательства и внесены в реес</w:t>
      </w:r>
      <w:r w:rsidRPr="001466A4">
        <w:t>тр мест (площадок) накопления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В решении Верховного суда Российской Федерации от 07.02.2021 N АКПИ20-956 указано, что отсутствие на территории субъекта Российской Федерации организованного раздельного накопления ТКО позволяет собственнику ТКО осуществл</w:t>
      </w:r>
      <w:r w:rsidRPr="001466A4">
        <w:t xml:space="preserve">ять коммерческий учет ТКО в соответствии с </w:t>
      </w:r>
      <w:hyperlink r:id="rId68" w:history="1">
        <w:r w:rsidRPr="001466A4">
          <w:t>подпунктом "а" пункта 5</w:t>
        </w:r>
      </w:hyperlink>
      <w:r w:rsidRPr="001466A4">
        <w:t xml:space="preserve"> Правил N 505 одним из альтернативных способов расчета.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Также при достиже</w:t>
      </w:r>
      <w:r w:rsidRPr="001466A4">
        <w:t>нии сторонами соглашения об осуществлении коммерческого учета объемов ТКО исходя из количества и объема контейнеров, установленных в местах накопления ТКО, суды в отсутствие организованного раздельного сбора накопления отходов считают возможным предусмотре</w:t>
      </w:r>
      <w:r w:rsidRPr="001466A4">
        <w:t>ть в договоре указанный способ коммерческого учета, согласованный сторонами по договору (например, дело N 12-38317/2019).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lastRenderedPageBreak/>
        <w:t>Положения в части коммерческого учета ТКО применительно к собственникам и пользователям жилых помещений уточняются в Правилах предоста</w:t>
      </w:r>
      <w:r w:rsidRPr="001466A4">
        <w:t>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- Правила N 354).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Согласно пункту 148(30) Правил N 354 в отно</w:t>
      </w:r>
      <w:r w:rsidRPr="001466A4">
        <w:t>шении потребителей в жилых помещениях (жилой дом, квартира) коммерческий учет ТКО осуществляется расчетным путем исходя из нормативов накопления ТКО, а в случае если введено раздельное накопление сортированных ТКО - расчетным путем исходя из количества и о</w:t>
      </w:r>
      <w:r w:rsidRPr="001466A4">
        <w:t>бъема контейнеров для накопления ТКО, установленных в местах накопления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Таким образом, для потребителей в жилых помещениях (жилой дом, квартира) наличие системы раздельного сбора является обязательным требованием для расчета "по факту" (исходя из коли</w:t>
      </w:r>
      <w:r w:rsidRPr="001466A4">
        <w:t>чества и объема контейнеров).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отношении иных потребителей коммерческий учет ТКО производится способом, определенным сторонами в договоре по обращению с ТКО, в соответствии с </w:t>
      </w:r>
      <w:hyperlink r:id="rId69" w:history="1">
        <w:r w:rsidRPr="001466A4">
          <w:t>Правилами</w:t>
        </w:r>
      </w:hyperlink>
      <w:r w:rsidRPr="001466A4">
        <w:t xml:space="preserve"> N 1156.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Как ранее отмечалось, согласно </w:t>
      </w:r>
      <w:hyperlink r:id="rId70" w:history="1">
        <w:r w:rsidRPr="001466A4">
          <w:t>разделу I(1)</w:t>
        </w:r>
      </w:hyperlink>
      <w:r w:rsidRPr="001466A4">
        <w:t xml:space="preserve"> Правил N 1156 при поступлении заявки потребит</w:t>
      </w:r>
      <w:r w:rsidRPr="001466A4">
        <w:t xml:space="preserve">еля со всеми необходимыми сведениями и документами, предусмотренными </w:t>
      </w:r>
      <w:hyperlink r:id="rId71" w:history="1">
        <w:r w:rsidRPr="001466A4">
          <w:t>пунктами 8(6)</w:t>
        </w:r>
      </w:hyperlink>
      <w:r w:rsidRPr="001466A4">
        <w:t xml:space="preserve"> и </w:t>
      </w:r>
      <w:hyperlink r:id="rId72" w:history="1">
        <w:r w:rsidRPr="001466A4">
          <w:t>8(7)</w:t>
        </w:r>
      </w:hyperlink>
      <w:r w:rsidRPr="001466A4">
        <w:t xml:space="preserve"> Правил N 1156,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</w:t>
      </w:r>
      <w:r w:rsidRPr="001466A4">
        <w:t xml:space="preserve">бращению с ТКО, а потребитель в течение 15 рабочих дней со дня поступления 2 экземпляров проекта договора на оказание услуг по обращению с ТКО обязан их подписать и направить 1 экземпляр договора региональному оператору либо направить мотивированный отказ </w:t>
      </w:r>
      <w:r w:rsidRPr="001466A4">
        <w:t>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Таким образом, в случае несогласия собственника ТКО с предлагаемым региональным</w:t>
      </w:r>
      <w:r w:rsidRPr="001466A4">
        <w:t xml:space="preserve"> оператором способом коммерческого учета ТКО, собственник ТКО в соответствии с </w:t>
      </w:r>
      <w:hyperlink r:id="rId73" w:history="1">
        <w:r w:rsidRPr="001466A4">
          <w:t>Правилами</w:t>
        </w:r>
      </w:hyperlink>
      <w:r w:rsidRPr="001466A4">
        <w:t xml:space="preserve"> N 1156 вправе направить мотивированный отказ от по</w:t>
      </w:r>
      <w:r w:rsidRPr="001466A4">
        <w:t>дписания проекта договора и предложить изменения в проект договора в части порядка осуществления иного способа применения учета объема и (или) массы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Кроме того, стороны вправе заключать дополнительные соглашения о внесении изменений в договор, в том ч</w:t>
      </w:r>
      <w:r w:rsidRPr="001466A4">
        <w:t>исле по способу коммерческого учета.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Учитывая вышеизложенное, действия регионального оператора, выразившиеся в навязывании невыгодных условий потребителю (например, в навязывании невыгодного для потребителя способа коммерческого учета ТКО), могут содержать</w:t>
      </w:r>
      <w:r w:rsidRPr="001466A4">
        <w:t xml:space="preserve"> в себе признаки нарушения антимонопольного законодательства (</w:t>
      </w:r>
      <w:hyperlink r:id="rId74" w:history="1">
        <w:r w:rsidRPr="001466A4">
          <w:t>пункт 3 части 1 статьи 10</w:t>
        </w:r>
      </w:hyperlink>
      <w:r w:rsidRPr="001466A4">
        <w:t xml:space="preserve"> Закона о защите конкуренции).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Title"/>
        <w:ind w:firstLine="540"/>
        <w:jc w:val="both"/>
        <w:outlineLvl w:val="0"/>
      </w:pPr>
      <w:r w:rsidRPr="001466A4">
        <w:t>5. Порядок сбора и в</w:t>
      </w:r>
      <w:r w:rsidRPr="001466A4">
        <w:t>ывоза ТКО.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75" w:history="1">
        <w:r w:rsidRPr="001466A4">
          <w:t>Пунктом 1 раздела I</w:t>
        </w:r>
      </w:hyperlink>
      <w:r w:rsidRPr="001466A4">
        <w:t xml:space="preserve"> Типового договора на оказание услуг по обращению с ТКО региональный оператор обязуется принимать ТКО в объеме и </w:t>
      </w:r>
      <w:r w:rsidRPr="001466A4">
        <w:t xml:space="preserve">в месте, которые определены в типовом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</w:t>
      </w:r>
      <w:r w:rsidRPr="001466A4">
        <w:t xml:space="preserve">определенной в пределах утвержденного в установленном </w:t>
      </w:r>
      <w:r w:rsidRPr="001466A4">
        <w:lastRenderedPageBreak/>
        <w:t>порядке единого тарифа на услугу регионального оператора.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В соответствии с </w:t>
      </w:r>
      <w:hyperlink r:id="rId76" w:history="1">
        <w:r w:rsidRPr="001466A4">
          <w:t>пунктом 13(1)</w:t>
        </w:r>
      </w:hyperlink>
      <w:r w:rsidRPr="001466A4">
        <w:t xml:space="preserve"> Правил N 1156 региональный оператор ежегодно,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ТКО, св</w:t>
      </w:r>
      <w:r w:rsidRPr="001466A4">
        <w:t>едения о количестве планируемых к размещению контейнеров и бункеров с указанием их объема и о местах (площадках) накопления ТКО, на которых планируется разместить такие контейнеры и бункеры.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77" w:history="1">
        <w:r w:rsidRPr="001466A4">
          <w:t>Пунктом 3 раздела I</w:t>
        </w:r>
      </w:hyperlink>
      <w:r w:rsidRPr="001466A4">
        <w:t xml:space="preserve"> Типового договора в договоре указывается нужный способ складирования ТКО - мусоропроводы и мусороприемные камеры, в контейнеры, бункеры, расположенные на контейнерных площадках, в паке</w:t>
      </w:r>
      <w:r w:rsidRPr="001466A4">
        <w:t>ты или другие емкости (указываются какие), предоставленные региональным оператором.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hyperlink r:id="rId78" w:history="1">
        <w:r w:rsidRPr="001466A4">
          <w:t>Пунктом 10</w:t>
        </w:r>
      </w:hyperlink>
      <w:r w:rsidRPr="001466A4">
        <w:t xml:space="preserve"> Правил N 1156 установлено, что в соответствии с </w:t>
      </w:r>
      <w:r w:rsidRPr="001466A4">
        <w:t>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а) в контейнеры, расположенные в мусороприемных камерах (при наличии соответствующей внутридомовой инжен</w:t>
      </w:r>
      <w:r w:rsidRPr="001466A4">
        <w:t>ерной системы);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б) в контейнеры, бункеры, расположенные на контейнерных площадках;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в) в пакеты или другие емкости, предоставленные региональным оператором.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При этом потребитель обязан осуществлять складирование ТКО в местах накопления ТКО, определенных дог</w:t>
      </w:r>
      <w:r w:rsidRPr="001466A4">
        <w:t xml:space="preserve">овором на оказание услуг по обращению с ТКО, в соответствии с территориальной схемой обращения с отходами и обеспечивать складирование ТКО в контейнеры или иные места в соответствии с </w:t>
      </w:r>
      <w:hyperlink r:id="rId79" w:history="1">
        <w:r w:rsidRPr="001466A4">
          <w:t>приложением</w:t>
        </w:r>
      </w:hyperlink>
      <w:r w:rsidRPr="001466A4">
        <w:t xml:space="preserve"> к типовому договору.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Необходимо отметить, что действующим законодательством в сфере обращения с ТКО не предусмотрено случаев, при наступлении которых региональный оператор вправе прекратить предостав</w:t>
      </w:r>
      <w:r w:rsidRPr="001466A4">
        <w:t>ление услуги по обращению с ТКО. Если договор на оказание услуг по обращению с ТКО не расторгнут и не признан судом недействительным, региональный оператор обязан продолжать оказывать соответствующую услугу потребителям. Например, наличие задолженности у п</w:t>
      </w:r>
      <w:r w:rsidRPr="001466A4">
        <w:t>отребителя или оспаривание региональным оператором в судебном порядке нормативов накопления ТКО не может рассматриваться как основание для прекращения вывоза ТКО при наличии действующего договора.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Так, действия регионального оператора, занимающего доминирующее положение на соответствующем товарном рынке, выразившиеся в неправомерном прекращении поставки ресурса (услуги по обращению с ТКО), должны рассматриваться антимонопольными органами на предмет </w:t>
      </w:r>
      <w:r w:rsidRPr="001466A4">
        <w:t xml:space="preserve">нарушения </w:t>
      </w:r>
      <w:hyperlink r:id="rId80" w:history="1">
        <w:r w:rsidRPr="001466A4">
          <w:t>Закона</w:t>
        </w:r>
      </w:hyperlink>
      <w:r w:rsidRPr="001466A4">
        <w:t xml:space="preserve"> о защите конкуренции.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 xml:space="preserve">Согласно </w:t>
      </w:r>
      <w:hyperlink r:id="rId81" w:history="1">
        <w:r w:rsidRPr="001466A4">
          <w:t>пункту 13</w:t>
        </w:r>
      </w:hyperlink>
      <w:r w:rsidRPr="001466A4">
        <w:t xml:space="preserve"> постановления Пленума Верховного суда Российской Федерации от 04.03.2021 N 2 "О некоторых вопросах, возникающих в связи с применением судами антимонопольного законодательства" Прекращение реализации товара определенному покупателю, всем поку</w:t>
      </w:r>
      <w:r w:rsidRPr="001466A4">
        <w:t>пателям или их определенной группе, в том числе в связи с прекращением производства, и (или) уклонение от заключения договора с ними могут быть признаны злоупотреблением доминирующим положением со стороны хозяйствующего субъекта-продавца по основаниям, пре</w:t>
      </w:r>
      <w:r w:rsidRPr="001466A4">
        <w:t xml:space="preserve">дусмотренным пунктами 4, 5 и 8 части 1 статьи 10 Закона, и тогда, когда эти действия </w:t>
      </w:r>
      <w:r w:rsidRPr="001466A4">
        <w:lastRenderedPageBreak/>
        <w:t>(бездействие) влекут за собой устранение конкуренции на том смежном рынке, на котором с использованием данного товара осуществляет свою деятельность покупатель (покупатели</w:t>
      </w:r>
      <w:r w:rsidRPr="001466A4">
        <w:t>), что предвидел или должен был предвидеть доминирующий субъект на момент совершения им названных действий.</w:t>
      </w:r>
    </w:p>
    <w:p w:rsidR="00000000" w:rsidRPr="001466A4" w:rsidRDefault="001466A4">
      <w:pPr>
        <w:pStyle w:val="ConsPlusNormal"/>
        <w:spacing w:before="240"/>
        <w:ind w:firstLine="540"/>
        <w:jc w:val="both"/>
      </w:pPr>
      <w:r w:rsidRPr="001466A4">
        <w:t>Таким образом, действия регионального оператора, выразившиеся в неправомерном отказе от вывоза ТКО, могут рассматриваться на предмет нарушения запре</w:t>
      </w:r>
      <w:r w:rsidRPr="001466A4">
        <w:t xml:space="preserve">та, установленного </w:t>
      </w:r>
      <w:hyperlink r:id="rId82" w:history="1">
        <w:r w:rsidRPr="001466A4">
          <w:t>пунктом 4 части 1 статьи 10</w:t>
        </w:r>
      </w:hyperlink>
      <w:r w:rsidRPr="001466A4">
        <w:t xml:space="preserve"> Закона о защите конкуренции (например: Решение Федеральной антимонопольной службы от 16.09.2</w:t>
      </w:r>
      <w:r w:rsidRPr="001466A4">
        <w:t>020 по рассмотрению жалобы на решение и предписание Челябинского УФАС России от 30.04.2020 по делу о нарушении антимонопольного законодательства N 074/01/10-1537/2019).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Normal"/>
        <w:jc w:val="right"/>
      </w:pPr>
      <w:r w:rsidRPr="001466A4">
        <w:t>В.Г.КОРОЛЕВ</w:t>
      </w: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Normal"/>
        <w:jc w:val="both"/>
      </w:pPr>
    </w:p>
    <w:p w:rsidR="00000000" w:rsidRPr="001466A4" w:rsidRDefault="00146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1466A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6A4">
      <w:pPr>
        <w:spacing w:after="0" w:line="240" w:lineRule="auto"/>
      </w:pPr>
      <w:r>
        <w:separator/>
      </w:r>
    </w:p>
  </w:endnote>
  <w:endnote w:type="continuationSeparator" w:id="0">
    <w:p w:rsidR="00000000" w:rsidRDefault="0014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6A4">
      <w:pPr>
        <w:spacing w:after="0" w:line="240" w:lineRule="auto"/>
      </w:pPr>
      <w:r>
        <w:separator/>
      </w:r>
    </w:p>
  </w:footnote>
  <w:footnote w:type="continuationSeparator" w:id="0">
    <w:p w:rsidR="00000000" w:rsidRDefault="0014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4"/>
    <w:rsid w:val="001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4120A"/>
  <w14:defaultImageDpi w14:val="0"/>
  <w15:docId w15:val="{7AEA9DAF-A6C5-4BBB-9966-6891EF2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6A4"/>
  </w:style>
  <w:style w:type="paragraph" w:styleId="a5">
    <w:name w:val="footer"/>
    <w:basedOn w:val="a"/>
    <w:link w:val="a6"/>
    <w:uiPriority w:val="99"/>
    <w:unhideWhenUsed/>
    <w:rsid w:val="00146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80283&amp;date=01.10.2021&amp;dst=100107&amp;field=134" TargetMode="External"/><Relationship Id="rId21" Type="http://schemas.openxmlformats.org/officeDocument/2006/relationships/hyperlink" Target="https://login.consultant.ru/link/?req=doc&amp;demo=2&amp;base=LAW&amp;n=380283&amp;date=01.10.2021&amp;dst=100107&amp;field=134" TargetMode="External"/><Relationship Id="rId42" Type="http://schemas.openxmlformats.org/officeDocument/2006/relationships/hyperlink" Target="https://login.consultant.ru/link/?req=doc&amp;demo=2&amp;base=LAW&amp;n=380283&amp;date=01.10.2021&amp;dst=100107&amp;field=134" TargetMode="External"/><Relationship Id="rId47" Type="http://schemas.openxmlformats.org/officeDocument/2006/relationships/hyperlink" Target="https://login.consultant.ru/link/?req=doc&amp;demo=2&amp;base=LAW&amp;n=389168&amp;date=01.10.2021&amp;dst=100098&amp;field=134" TargetMode="External"/><Relationship Id="rId63" Type="http://schemas.openxmlformats.org/officeDocument/2006/relationships/hyperlink" Target="https://login.consultant.ru/link/?req=doc&amp;demo=2&amp;base=LAW&amp;n=307322&amp;date=01.10.2021&amp;dst=5&amp;field=134" TargetMode="External"/><Relationship Id="rId68" Type="http://schemas.openxmlformats.org/officeDocument/2006/relationships/hyperlink" Target="https://login.consultant.ru/link/?req=doc&amp;demo=2&amp;base=LAW&amp;n=307322&amp;date=01.10.2021&amp;dst=100022&amp;field=13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demo=2&amp;base=LAW&amp;n=389614&amp;date=01.10.2021&amp;dst=592&amp;field=134" TargetMode="External"/><Relationship Id="rId11" Type="http://schemas.openxmlformats.org/officeDocument/2006/relationships/hyperlink" Target="https://login.consultant.ru/link/?req=doc&amp;demo=2&amp;base=LAW&amp;n=389614&amp;date=01.10.2021&amp;dst=420&amp;field=134" TargetMode="External"/><Relationship Id="rId32" Type="http://schemas.openxmlformats.org/officeDocument/2006/relationships/hyperlink" Target="https://login.consultant.ru/link/?req=doc&amp;demo=2&amp;base=APV&amp;n=182022&amp;date=01.10.2021" TargetMode="External"/><Relationship Id="rId37" Type="http://schemas.openxmlformats.org/officeDocument/2006/relationships/hyperlink" Target="https://login.consultant.ru/link/?req=doc&amp;demo=2&amp;base=LAW&amp;n=380283&amp;date=01.10.2021&amp;dst=45&amp;field=134" TargetMode="External"/><Relationship Id="rId53" Type="http://schemas.openxmlformats.org/officeDocument/2006/relationships/hyperlink" Target="https://login.consultant.ru/link/?req=doc&amp;demo=2&amp;base=LAW&amp;n=380283&amp;date=01.10.2021&amp;dst=100010&amp;field=134" TargetMode="External"/><Relationship Id="rId58" Type="http://schemas.openxmlformats.org/officeDocument/2006/relationships/hyperlink" Target="https://login.consultant.ru/link/?req=doc&amp;demo=2&amp;base=LAW&amp;n=307322&amp;date=01.10.2021&amp;dst=100026&amp;field=134" TargetMode="External"/><Relationship Id="rId74" Type="http://schemas.openxmlformats.org/officeDocument/2006/relationships/hyperlink" Target="https://login.consultant.ru/link/?req=doc&amp;demo=2&amp;base=LAW&amp;n=389168&amp;date=01.10.2021&amp;dst=100096&amp;field=134" TargetMode="External"/><Relationship Id="rId79" Type="http://schemas.openxmlformats.org/officeDocument/2006/relationships/hyperlink" Target="https://login.consultant.ru/link/?req=doc&amp;demo=2&amp;base=LAW&amp;n=380283&amp;date=01.10.2021&amp;dst=100184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307322&amp;date=01.10.2021&amp;dst=100029&amp;field=134" TargetMode="External"/><Relationship Id="rId82" Type="http://schemas.openxmlformats.org/officeDocument/2006/relationships/hyperlink" Target="https://login.consultant.ru/link/?req=doc&amp;demo=2&amp;base=LAW&amp;n=389168&amp;date=01.10.2021&amp;dst=100097&amp;field=134" TargetMode="External"/><Relationship Id="rId19" Type="http://schemas.openxmlformats.org/officeDocument/2006/relationships/hyperlink" Target="https://login.consultant.ru/link/?req=doc&amp;demo=2&amp;base=LAW&amp;n=373476&amp;date=01.10.2021&amp;dst=100900&amp;field=134" TargetMode="External"/><Relationship Id="rId14" Type="http://schemas.openxmlformats.org/officeDocument/2006/relationships/hyperlink" Target="https://login.consultant.ru/link/?req=doc&amp;demo=2&amp;base=LAW&amp;n=380283&amp;date=01.10.2021&amp;dst=100010&amp;field=134" TargetMode="External"/><Relationship Id="rId22" Type="http://schemas.openxmlformats.org/officeDocument/2006/relationships/hyperlink" Target="https://login.consultant.ru/link/?req=doc&amp;demo=2&amp;base=LAW&amp;n=378656&amp;date=01.10.2021&amp;dst=100056&amp;field=134" TargetMode="External"/><Relationship Id="rId27" Type="http://schemas.openxmlformats.org/officeDocument/2006/relationships/hyperlink" Target="https://login.consultant.ru/link/?req=doc&amp;demo=2&amp;base=LAW&amp;n=389168&amp;date=01.10.2021&amp;dst=100096&amp;field=134" TargetMode="External"/><Relationship Id="rId30" Type="http://schemas.openxmlformats.org/officeDocument/2006/relationships/hyperlink" Target="https://login.consultant.ru/link/?req=doc&amp;demo=2&amp;base=ARB&amp;n=589647&amp;date=01.10.2021" TargetMode="External"/><Relationship Id="rId35" Type="http://schemas.openxmlformats.org/officeDocument/2006/relationships/hyperlink" Target="https://login.consultant.ru/link/?req=doc&amp;demo=2&amp;base=LAW&amp;n=380283&amp;date=01.10.2021&amp;dst=100010&amp;field=134" TargetMode="External"/><Relationship Id="rId43" Type="http://schemas.openxmlformats.org/officeDocument/2006/relationships/hyperlink" Target="https://login.consultant.ru/link/?req=doc&amp;demo=2&amp;base=LAW&amp;n=380283&amp;date=01.10.2021&amp;dst=8&amp;field=134" TargetMode="External"/><Relationship Id="rId48" Type="http://schemas.openxmlformats.org/officeDocument/2006/relationships/hyperlink" Target="https://login.consultant.ru/link/?req=doc&amp;demo=2&amp;base=LAW&amp;n=389614&amp;date=01.10.2021&amp;dst=582&amp;field=134" TargetMode="External"/><Relationship Id="rId56" Type="http://schemas.openxmlformats.org/officeDocument/2006/relationships/hyperlink" Target="https://login.consultant.ru/link/?req=doc&amp;demo=2&amp;base=LAW&amp;n=307322&amp;date=01.10.2021&amp;dst=100008&amp;field=134" TargetMode="External"/><Relationship Id="rId64" Type="http://schemas.openxmlformats.org/officeDocument/2006/relationships/hyperlink" Target="https://login.consultant.ru/link/?req=doc&amp;demo=2&amp;base=LAW&amp;n=307322&amp;date=01.10.2021&amp;dst=100022&amp;field=134" TargetMode="External"/><Relationship Id="rId69" Type="http://schemas.openxmlformats.org/officeDocument/2006/relationships/hyperlink" Target="https://login.consultant.ru/link/?req=doc&amp;demo=2&amp;base=LAW&amp;n=380283&amp;date=01.10.2021&amp;dst=100010&amp;field=134" TargetMode="External"/><Relationship Id="rId77" Type="http://schemas.openxmlformats.org/officeDocument/2006/relationships/hyperlink" Target="https://login.consultant.ru/link/?req=doc&amp;demo=2&amp;base=LAW&amp;n=380283&amp;date=01.10.2021&amp;dst=100113&amp;field=134" TargetMode="External"/><Relationship Id="rId8" Type="http://schemas.openxmlformats.org/officeDocument/2006/relationships/hyperlink" Target="https://login.consultant.ru/link/?req=doc&amp;demo=2&amp;base=LAW&amp;n=389168&amp;date=01.10.2021&amp;dst=100098&amp;field=134" TargetMode="External"/><Relationship Id="rId51" Type="http://schemas.openxmlformats.org/officeDocument/2006/relationships/hyperlink" Target="https://login.consultant.ru/link/?req=doc&amp;demo=2&amp;base=LAW&amp;n=389168&amp;date=01.10.2021&amp;dst=100098&amp;field=134" TargetMode="External"/><Relationship Id="rId72" Type="http://schemas.openxmlformats.org/officeDocument/2006/relationships/hyperlink" Target="https://login.consultant.ru/link/?req=doc&amp;demo=2&amp;base=LAW&amp;n=380283&amp;date=01.10.2021&amp;dst=24&amp;field=134" TargetMode="External"/><Relationship Id="rId80" Type="http://schemas.openxmlformats.org/officeDocument/2006/relationships/hyperlink" Target="https://login.consultant.ru/link/?req=doc&amp;demo=2&amp;base=LAW&amp;n=389168&amp;date=01.10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07325&amp;date=01.10.2021&amp;dst=100010&amp;field=134" TargetMode="External"/><Relationship Id="rId17" Type="http://schemas.openxmlformats.org/officeDocument/2006/relationships/hyperlink" Target="https://login.consultant.ru/link/?req=doc&amp;demo=2&amp;base=LAW&amp;n=380283&amp;date=01.10.2021&amp;dst=100107&amp;field=134" TargetMode="External"/><Relationship Id="rId25" Type="http://schemas.openxmlformats.org/officeDocument/2006/relationships/hyperlink" Target="https://login.consultant.ru/link/?req=doc&amp;demo=2&amp;base=LAW&amp;n=380283&amp;date=01.10.2021&amp;dst=100107&amp;field=134" TargetMode="External"/><Relationship Id="rId33" Type="http://schemas.openxmlformats.org/officeDocument/2006/relationships/hyperlink" Target="https://login.consultant.ru/link/?req=doc&amp;demo=2&amp;base=ASK&amp;n=159572&amp;date=01.10.2021" TargetMode="External"/><Relationship Id="rId38" Type="http://schemas.openxmlformats.org/officeDocument/2006/relationships/hyperlink" Target="https://login.consultant.ru/link/?req=doc&amp;demo=2&amp;base=LAW&amp;n=389614&amp;date=01.10.2021" TargetMode="External"/><Relationship Id="rId46" Type="http://schemas.openxmlformats.org/officeDocument/2006/relationships/hyperlink" Target="https://login.consultant.ru/link/?req=doc&amp;demo=2&amp;base=LAW&amp;n=380283&amp;date=01.10.2021&amp;dst=37&amp;field=134" TargetMode="External"/><Relationship Id="rId59" Type="http://schemas.openxmlformats.org/officeDocument/2006/relationships/hyperlink" Target="https://login.consultant.ru/link/?req=doc&amp;demo=2&amp;base=LAW&amp;n=307322&amp;date=01.10.2021&amp;dst=100022&amp;field=134" TargetMode="External"/><Relationship Id="rId67" Type="http://schemas.openxmlformats.org/officeDocument/2006/relationships/hyperlink" Target="https://login.consultant.ru/link/?req=doc&amp;demo=2&amp;base=LAW&amp;n=307322&amp;date=01.10.2021&amp;dst=100022&amp;field=134" TargetMode="External"/><Relationship Id="rId20" Type="http://schemas.openxmlformats.org/officeDocument/2006/relationships/hyperlink" Target="https://login.consultant.ru/link/?req=doc&amp;demo=2&amp;base=LAW&amp;n=373476&amp;date=01.10.2021&amp;dst=100910&amp;field=134" TargetMode="External"/><Relationship Id="rId41" Type="http://schemas.openxmlformats.org/officeDocument/2006/relationships/hyperlink" Target="https://login.consultant.ru/link/?req=doc&amp;demo=2&amp;base=LAW&amp;n=380283&amp;date=01.10.2021&amp;dst=24&amp;field=134" TargetMode="External"/><Relationship Id="rId54" Type="http://schemas.openxmlformats.org/officeDocument/2006/relationships/hyperlink" Target="https://login.consultant.ru/link/?req=doc&amp;demo=2&amp;base=LAW&amp;n=380283&amp;date=01.10.2021&amp;dst=100010&amp;field=134" TargetMode="External"/><Relationship Id="rId62" Type="http://schemas.openxmlformats.org/officeDocument/2006/relationships/hyperlink" Target="https://login.consultant.ru/link/?req=doc&amp;demo=2&amp;base=LAW&amp;n=307322&amp;date=01.10.2021&amp;dst=7&amp;field=134" TargetMode="External"/><Relationship Id="rId70" Type="http://schemas.openxmlformats.org/officeDocument/2006/relationships/hyperlink" Target="https://login.consultant.ru/link/?req=doc&amp;demo=2&amp;base=LAW&amp;n=380283&amp;date=01.10.2021&amp;dst=8&amp;field=134" TargetMode="External"/><Relationship Id="rId75" Type="http://schemas.openxmlformats.org/officeDocument/2006/relationships/hyperlink" Target="https://login.consultant.ru/link/?req=doc&amp;demo=2&amp;base=LAW&amp;n=380283&amp;date=01.10.2021&amp;dst=76&amp;field=13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EXP&amp;n=778437&amp;date=01.10.2021" TargetMode="External"/><Relationship Id="rId15" Type="http://schemas.openxmlformats.org/officeDocument/2006/relationships/hyperlink" Target="https://login.consultant.ru/link/?req=doc&amp;demo=2&amp;base=LAW&amp;n=380283&amp;date=01.10.2021&amp;dst=95&amp;field=134" TargetMode="External"/><Relationship Id="rId23" Type="http://schemas.openxmlformats.org/officeDocument/2006/relationships/hyperlink" Target="https://login.consultant.ru/link/?req=doc&amp;demo=2&amp;base=LAW&amp;n=389168&amp;date=01.10.2021&amp;dst=100096&amp;field=134" TargetMode="External"/><Relationship Id="rId28" Type="http://schemas.openxmlformats.org/officeDocument/2006/relationships/hyperlink" Target="https://login.consultant.ru/link/?req=doc&amp;demo=2&amp;base=LAW&amp;n=380283&amp;date=01.10.2021&amp;dst=4&amp;field=134" TargetMode="External"/><Relationship Id="rId36" Type="http://schemas.openxmlformats.org/officeDocument/2006/relationships/hyperlink" Target="https://login.consultant.ru/link/?req=doc&amp;demo=2&amp;base=LAW&amp;n=380283&amp;date=01.10.2021&amp;dst=100010&amp;field=134" TargetMode="External"/><Relationship Id="rId49" Type="http://schemas.openxmlformats.org/officeDocument/2006/relationships/hyperlink" Target="https://login.consultant.ru/link/?req=doc&amp;demo=2&amp;base=LAW&amp;n=389614&amp;date=01.10.2021&amp;dst=589&amp;field=134" TargetMode="External"/><Relationship Id="rId57" Type="http://schemas.openxmlformats.org/officeDocument/2006/relationships/hyperlink" Target="https://login.consultant.ru/link/?req=doc&amp;demo=2&amp;base=LAW&amp;n=307322&amp;date=01.10.2021&amp;dst=100021&amp;field=134" TargetMode="External"/><Relationship Id="rId10" Type="http://schemas.openxmlformats.org/officeDocument/2006/relationships/hyperlink" Target="https://login.consultant.ru/link/?req=doc&amp;demo=2&amp;base=LAW&amp;n=389614&amp;date=01.10.2021&amp;dst=100011&amp;field=134" TargetMode="External"/><Relationship Id="rId31" Type="http://schemas.openxmlformats.org/officeDocument/2006/relationships/hyperlink" Target="https://login.consultant.ru/link/?req=doc&amp;demo=2&amp;base=ASZ&amp;n=240086&amp;date=01.10.2021" TargetMode="External"/><Relationship Id="rId44" Type="http://schemas.openxmlformats.org/officeDocument/2006/relationships/hyperlink" Target="https://login.consultant.ru/link/?req=doc&amp;demo=2&amp;base=LAW&amp;n=380283&amp;date=01.10.2021&amp;dst=17&amp;field=134" TargetMode="External"/><Relationship Id="rId52" Type="http://schemas.openxmlformats.org/officeDocument/2006/relationships/hyperlink" Target="https://login.consultant.ru/link/?req=doc&amp;demo=2&amp;base=LAW&amp;n=389614&amp;date=01.10.2021" TargetMode="External"/><Relationship Id="rId60" Type="http://schemas.openxmlformats.org/officeDocument/2006/relationships/hyperlink" Target="https://login.consultant.ru/link/?req=doc&amp;demo=2&amp;base=LAW&amp;n=307322&amp;date=01.10.2021&amp;dst=100025&amp;field=134" TargetMode="External"/><Relationship Id="rId65" Type="http://schemas.openxmlformats.org/officeDocument/2006/relationships/hyperlink" Target="https://login.consultant.ru/link/?req=doc&amp;demo=2&amp;base=LAW&amp;n=307322&amp;date=01.10.2021&amp;dst=7&amp;field=134" TargetMode="External"/><Relationship Id="rId73" Type="http://schemas.openxmlformats.org/officeDocument/2006/relationships/hyperlink" Target="https://login.consultant.ru/link/?req=doc&amp;demo=2&amp;base=LAW&amp;n=380283&amp;date=01.10.2021&amp;dst=100010&amp;field=134" TargetMode="External"/><Relationship Id="rId78" Type="http://schemas.openxmlformats.org/officeDocument/2006/relationships/hyperlink" Target="https://login.consultant.ru/link/?req=doc&amp;demo=2&amp;base=LAW&amp;n=380283&amp;date=01.10.2021&amp;dst=98&amp;field=134" TargetMode="External"/><Relationship Id="rId81" Type="http://schemas.openxmlformats.org/officeDocument/2006/relationships/hyperlink" Target="https://login.consultant.ru/link/?req=doc&amp;demo=2&amp;base=LAW&amp;n=378656&amp;date=01.10.2021&amp;dst=10004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89168&amp;date=01.10.2021&amp;dst=100047&amp;field=134" TargetMode="External"/><Relationship Id="rId13" Type="http://schemas.openxmlformats.org/officeDocument/2006/relationships/hyperlink" Target="https://login.consultant.ru/link/?req=doc&amp;demo=2&amp;base=LAW&amp;n=389614&amp;date=01.10.2021" TargetMode="External"/><Relationship Id="rId18" Type="http://schemas.openxmlformats.org/officeDocument/2006/relationships/hyperlink" Target="https://login.consultant.ru/link/?req=doc&amp;demo=2&amp;base=LAW&amp;n=389614&amp;date=01.10.2021&amp;dst=428&amp;field=134" TargetMode="External"/><Relationship Id="rId39" Type="http://schemas.openxmlformats.org/officeDocument/2006/relationships/hyperlink" Target="https://login.consultant.ru/link/?req=doc&amp;demo=2&amp;base=LAW&amp;n=380283&amp;date=01.10.2021&amp;dst=100010&amp;field=134" TargetMode="External"/><Relationship Id="rId34" Type="http://schemas.openxmlformats.org/officeDocument/2006/relationships/hyperlink" Target="https://login.consultant.ru/link/?req=doc&amp;demo=2&amp;base=LAW&amp;n=389614&amp;date=01.10.2021" TargetMode="External"/><Relationship Id="rId50" Type="http://schemas.openxmlformats.org/officeDocument/2006/relationships/hyperlink" Target="https://login.consultant.ru/link/?req=doc&amp;demo=2&amp;base=LAW&amp;n=389168&amp;date=01.10.2021&amp;dst=100096&amp;field=134" TargetMode="External"/><Relationship Id="rId55" Type="http://schemas.openxmlformats.org/officeDocument/2006/relationships/hyperlink" Target="https://login.consultant.ru/link/?req=doc&amp;demo=2&amp;base=LAW&amp;n=380283&amp;date=01.10.2021&amp;dst=100150&amp;field=134" TargetMode="External"/><Relationship Id="rId76" Type="http://schemas.openxmlformats.org/officeDocument/2006/relationships/hyperlink" Target="https://login.consultant.ru/link/?req=doc&amp;demo=2&amp;base=LAW&amp;n=380283&amp;date=01.10.2021&amp;dst=101&amp;field=134" TargetMode="External"/><Relationship Id="rId7" Type="http://schemas.openxmlformats.org/officeDocument/2006/relationships/hyperlink" Target="https://login.consultant.ru/link/?req=doc&amp;demo=2&amp;base=LAW&amp;n=389168&amp;date=01.10.2021&amp;dst=100096&amp;field=134" TargetMode="External"/><Relationship Id="rId71" Type="http://schemas.openxmlformats.org/officeDocument/2006/relationships/hyperlink" Target="https://login.consultant.ru/link/?req=doc&amp;demo=2&amp;base=LAW&amp;n=380283&amp;date=01.10.2021&amp;dst=1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80283&amp;date=01.10.2021&amp;dst=4&amp;field=134" TargetMode="External"/><Relationship Id="rId24" Type="http://schemas.openxmlformats.org/officeDocument/2006/relationships/hyperlink" Target="https://login.consultant.ru/link/?req=doc&amp;demo=2&amp;base=LAW&amp;n=378656&amp;date=01.10.2021&amp;dst=100051&amp;field=134" TargetMode="External"/><Relationship Id="rId40" Type="http://schemas.openxmlformats.org/officeDocument/2006/relationships/hyperlink" Target="https://login.consultant.ru/link/?req=doc&amp;demo=2&amp;base=LAW&amp;n=380283&amp;date=01.10.2021&amp;dst=16&amp;field=134" TargetMode="External"/><Relationship Id="rId45" Type="http://schemas.openxmlformats.org/officeDocument/2006/relationships/hyperlink" Target="https://login.consultant.ru/link/?req=doc&amp;demo=2&amp;base=LAW&amp;n=380283&amp;date=01.10.2021&amp;dst=24&amp;field=134" TargetMode="External"/><Relationship Id="rId66" Type="http://schemas.openxmlformats.org/officeDocument/2006/relationships/hyperlink" Target="https://login.consultant.ru/link/?req=doc&amp;demo=2&amp;base=LAW&amp;n=307322&amp;date=01.10.2021&amp;dst=1000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5180</Words>
  <Characters>29526</Characters>
  <Application>Microsoft Office Word</Application>
  <DocSecurity>2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11.08.2021 N ВК/67016/21&lt;О применении пунктов 3 и 5 части 1 статьи 10 Федерального закона от 26.07.2006 N 135-ФЗ&gt;</vt:lpstr>
    </vt:vector>
  </TitlesOfParts>
  <Company>КонсультантПлюс Версия 4021.00.20</Company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11.08.2021 N ВК/67016/21&lt;О применении пунктов 3 и 5 части 1 статьи 10 Федерального закона от 26.07.2006 N 135-ФЗ&gt;</dc:title>
  <dc:subject/>
  <dc:creator>Егорова Анастасия Игоревна</dc:creator>
  <cp:keywords/>
  <dc:description/>
  <cp:lastModifiedBy>Егорова Анастасия Игоревна</cp:lastModifiedBy>
  <cp:revision>2</cp:revision>
  <dcterms:created xsi:type="dcterms:W3CDTF">2021-10-01T11:15:00Z</dcterms:created>
  <dcterms:modified xsi:type="dcterms:W3CDTF">2021-10-01T11:15:00Z</dcterms:modified>
</cp:coreProperties>
</file>